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274" w:rsidRDefault="00871274">
      <w:r>
        <w:t xml:space="preserve"> </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1016"/>
      </w:tblGrid>
      <w:tr w:rsidR="00066291" w:rsidTr="00981ACA">
        <w:trPr>
          <w:trHeight w:val="2600"/>
        </w:trPr>
        <w:tc>
          <w:tcPr>
            <w:tcW w:w="0" w:type="auto"/>
            <w:vAlign w:val="center"/>
          </w:tcPr>
          <w:p w:rsidR="00066291" w:rsidRPr="00066291" w:rsidRDefault="00066291" w:rsidP="00066291">
            <w:pPr>
              <w:jc w:val="center"/>
              <w:rPr>
                <w:sz w:val="22"/>
              </w:rPr>
            </w:pPr>
            <w:r w:rsidRPr="00066291">
              <w:rPr>
                <w:b/>
                <w:sz w:val="28"/>
                <w:szCs w:val="28"/>
              </w:rPr>
              <w:t xml:space="preserve">CAAP Science </w:t>
            </w:r>
            <w:r w:rsidR="005F71D0">
              <w:rPr>
                <w:b/>
                <w:sz w:val="28"/>
                <w:szCs w:val="28"/>
              </w:rPr>
              <w:t>Fall 2008</w:t>
            </w:r>
            <w:r w:rsidR="005F71D0">
              <w:rPr>
                <w:b/>
                <w:sz w:val="28"/>
                <w:szCs w:val="28"/>
              </w:rPr>
              <w:br/>
            </w:r>
            <w:r w:rsidRPr="00066291">
              <w:rPr>
                <w:b/>
                <w:sz w:val="28"/>
                <w:szCs w:val="28"/>
              </w:rPr>
              <w:t>Reasoning Test Description</w:t>
            </w:r>
            <w:r>
              <w:t xml:space="preserve">   </w:t>
            </w:r>
            <w:r>
              <w:br/>
              <w:t xml:space="preserve">     </w:t>
            </w:r>
            <w:r w:rsidRPr="00066291">
              <w:rPr>
                <w:sz w:val="22"/>
              </w:rPr>
              <w:t>This 45-item, 40-minute test measures the student's abilities in scientific reasoning.  The content is drawn from biology, chemistry, physics, and physical sciences.  Emphasis is on scientific reasoning skills, rather than recall of scientific content or a high level of skill in mathematics or reading.  The test consists of eight units, each of which contains scientific information and a set of multiple-choice questions.  The test includes content from biology, physical sciences, chemistry, and physics.</w:t>
            </w:r>
          </w:p>
          <w:p w:rsidR="00066291" w:rsidRPr="00066291" w:rsidRDefault="00066291" w:rsidP="00066291">
            <w:pPr>
              <w:jc w:val="center"/>
              <w:rPr>
                <w:sz w:val="22"/>
              </w:rPr>
            </w:pPr>
          </w:p>
          <w:p w:rsidR="00066291" w:rsidRPr="00066291" w:rsidRDefault="00066291" w:rsidP="00066291">
            <w:pPr>
              <w:jc w:val="center"/>
              <w:rPr>
                <w:sz w:val="22"/>
              </w:rPr>
            </w:pPr>
            <w:r w:rsidRPr="00066291">
              <w:rPr>
                <w:sz w:val="22"/>
              </w:rPr>
              <w:t>Data Representation     33% of test     15 items</w:t>
            </w:r>
          </w:p>
          <w:p w:rsidR="00066291" w:rsidRPr="00066291" w:rsidRDefault="00066291" w:rsidP="00066291">
            <w:pPr>
              <w:jc w:val="center"/>
              <w:rPr>
                <w:sz w:val="22"/>
              </w:rPr>
            </w:pPr>
            <w:r w:rsidRPr="00066291">
              <w:rPr>
                <w:sz w:val="22"/>
              </w:rPr>
              <w:t>Research Summaries     54% of test     24 items</w:t>
            </w:r>
          </w:p>
          <w:p w:rsidR="00066291" w:rsidRDefault="00066291" w:rsidP="00066291">
            <w:pPr>
              <w:jc w:val="center"/>
            </w:pPr>
            <w:r w:rsidRPr="00066291">
              <w:rPr>
                <w:sz w:val="22"/>
              </w:rPr>
              <w:t>Conflicting Viewpoints  13% of test      6 items</w:t>
            </w:r>
          </w:p>
        </w:tc>
      </w:tr>
    </w:tbl>
    <w:p w:rsidR="00871274" w:rsidRDefault="00871274"/>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ook w:val="04A0"/>
      </w:tblPr>
      <w:tblGrid>
        <w:gridCol w:w="2877"/>
        <w:gridCol w:w="576"/>
        <w:gridCol w:w="1863"/>
        <w:gridCol w:w="1730"/>
        <w:gridCol w:w="1370"/>
        <w:gridCol w:w="2223"/>
      </w:tblGrid>
      <w:tr w:rsidR="00E24C0A" w:rsidTr="00E24C0A">
        <w:trPr>
          <w:jc w:val="center"/>
        </w:trPr>
        <w:tc>
          <w:tcPr>
            <w:tcW w:w="0" w:type="auto"/>
            <w:gridSpan w:val="6"/>
            <w:shd w:val="clear" w:color="auto" w:fill="A6A6A6" w:themeFill="background1" w:themeFillShade="A6"/>
            <w:vAlign w:val="center"/>
          </w:tcPr>
          <w:p w:rsidR="00E24C0A" w:rsidRPr="00E24C0A" w:rsidRDefault="00E24C0A" w:rsidP="00981ACA">
            <w:pPr>
              <w:jc w:val="center"/>
              <w:rPr>
                <w:b/>
              </w:rPr>
            </w:pPr>
            <w:r w:rsidRPr="00E24C0A">
              <w:rPr>
                <w:b/>
              </w:rPr>
              <w:t>CAAP Scores: Science Reasoning</w:t>
            </w:r>
          </w:p>
        </w:tc>
      </w:tr>
      <w:tr w:rsidR="00981ACA" w:rsidTr="00E24C0A">
        <w:trPr>
          <w:jc w:val="center"/>
        </w:trPr>
        <w:tc>
          <w:tcPr>
            <w:tcW w:w="0" w:type="auto"/>
            <w:shd w:val="clear" w:color="auto" w:fill="8064A2" w:themeFill="accent4"/>
            <w:vAlign w:val="center"/>
          </w:tcPr>
          <w:p w:rsidR="00DA6F80" w:rsidRPr="00E24C0A" w:rsidRDefault="00DA6F80" w:rsidP="00981ACA">
            <w:pPr>
              <w:jc w:val="center"/>
              <w:rPr>
                <w:b/>
                <w:color w:val="FFFFFF" w:themeColor="background1"/>
              </w:rPr>
            </w:pPr>
            <w:r w:rsidRPr="00E24C0A">
              <w:rPr>
                <w:b/>
                <w:color w:val="FFFFFF" w:themeColor="background1"/>
              </w:rPr>
              <w:t>UNA and National Norms</w:t>
            </w:r>
          </w:p>
        </w:tc>
        <w:tc>
          <w:tcPr>
            <w:tcW w:w="0" w:type="auto"/>
            <w:shd w:val="clear" w:color="auto" w:fill="8064A2" w:themeFill="accent4"/>
            <w:vAlign w:val="center"/>
          </w:tcPr>
          <w:p w:rsidR="00DA6F80" w:rsidRPr="00E24C0A" w:rsidRDefault="00DA6F80" w:rsidP="00981ACA">
            <w:pPr>
              <w:jc w:val="center"/>
              <w:rPr>
                <w:b/>
                <w:color w:val="FFFFFF" w:themeColor="background1"/>
              </w:rPr>
            </w:pPr>
            <w:r w:rsidRPr="00E24C0A">
              <w:rPr>
                <w:b/>
                <w:color w:val="FFFFFF" w:themeColor="background1"/>
              </w:rPr>
              <w:t>N</w:t>
            </w:r>
          </w:p>
        </w:tc>
        <w:tc>
          <w:tcPr>
            <w:tcW w:w="0" w:type="auto"/>
            <w:shd w:val="clear" w:color="auto" w:fill="8064A2" w:themeFill="accent4"/>
            <w:vAlign w:val="center"/>
          </w:tcPr>
          <w:p w:rsidR="00DA6F80" w:rsidRPr="00E24C0A" w:rsidRDefault="00DA6F80" w:rsidP="00981ACA">
            <w:pPr>
              <w:jc w:val="center"/>
              <w:rPr>
                <w:b/>
                <w:color w:val="FFFFFF" w:themeColor="background1"/>
              </w:rPr>
            </w:pPr>
            <w:r w:rsidRPr="00E24C0A">
              <w:rPr>
                <w:b/>
                <w:color w:val="FFFFFF" w:themeColor="background1"/>
              </w:rPr>
              <w:t>Percentile Rank</w:t>
            </w:r>
          </w:p>
        </w:tc>
        <w:tc>
          <w:tcPr>
            <w:tcW w:w="0" w:type="auto"/>
            <w:shd w:val="clear" w:color="auto" w:fill="8064A2" w:themeFill="accent4"/>
            <w:vAlign w:val="center"/>
          </w:tcPr>
          <w:p w:rsidR="00DA6F80" w:rsidRPr="00E24C0A" w:rsidRDefault="00DA6F80" w:rsidP="00981ACA">
            <w:pPr>
              <w:jc w:val="center"/>
              <w:rPr>
                <w:b/>
                <w:color w:val="FFFFFF" w:themeColor="background1"/>
              </w:rPr>
            </w:pPr>
            <w:r w:rsidRPr="00E24C0A">
              <w:rPr>
                <w:b/>
                <w:color w:val="FFFFFF" w:themeColor="background1"/>
              </w:rPr>
              <w:t>National Score</w:t>
            </w:r>
          </w:p>
        </w:tc>
        <w:tc>
          <w:tcPr>
            <w:tcW w:w="0" w:type="auto"/>
            <w:shd w:val="clear" w:color="auto" w:fill="8064A2" w:themeFill="accent4"/>
            <w:vAlign w:val="center"/>
          </w:tcPr>
          <w:p w:rsidR="00DA6F80" w:rsidRPr="00E24C0A" w:rsidRDefault="00DA6F80" w:rsidP="00981ACA">
            <w:pPr>
              <w:jc w:val="center"/>
              <w:rPr>
                <w:b/>
                <w:color w:val="FFFFFF" w:themeColor="background1"/>
              </w:rPr>
            </w:pPr>
            <w:r w:rsidRPr="00E24C0A">
              <w:rPr>
                <w:b/>
                <w:color w:val="FFFFFF" w:themeColor="background1"/>
              </w:rPr>
              <w:t>UNA Score</w:t>
            </w:r>
          </w:p>
        </w:tc>
        <w:tc>
          <w:tcPr>
            <w:tcW w:w="0" w:type="auto"/>
            <w:shd w:val="clear" w:color="auto" w:fill="8064A2" w:themeFill="accent4"/>
            <w:vAlign w:val="center"/>
          </w:tcPr>
          <w:p w:rsidR="00DA6F80" w:rsidRPr="00E24C0A" w:rsidRDefault="00DA6F80" w:rsidP="00981ACA">
            <w:pPr>
              <w:jc w:val="center"/>
              <w:rPr>
                <w:b/>
                <w:color w:val="FFFFFF" w:themeColor="background1"/>
              </w:rPr>
            </w:pPr>
            <w:r w:rsidRPr="00E24C0A">
              <w:rPr>
                <w:b/>
                <w:color w:val="FFFFFF" w:themeColor="background1"/>
              </w:rPr>
              <w:t>Standard Deviation</w:t>
            </w:r>
          </w:p>
        </w:tc>
      </w:tr>
      <w:tr w:rsidR="00981ACA" w:rsidTr="00981ACA">
        <w:trPr>
          <w:jc w:val="center"/>
        </w:trPr>
        <w:tc>
          <w:tcPr>
            <w:tcW w:w="0" w:type="auto"/>
          </w:tcPr>
          <w:p w:rsidR="00DA6F80" w:rsidRDefault="00DA6F80" w:rsidP="00981ACA">
            <w:pPr>
              <w:jc w:val="center"/>
            </w:pPr>
            <w:r>
              <w:t>UNA 2008</w:t>
            </w:r>
          </w:p>
        </w:tc>
        <w:tc>
          <w:tcPr>
            <w:tcW w:w="0" w:type="auto"/>
          </w:tcPr>
          <w:p w:rsidR="00DA6F80" w:rsidRDefault="00DA6F80" w:rsidP="00981ACA">
            <w:pPr>
              <w:jc w:val="center"/>
            </w:pPr>
            <w:r>
              <w:t>336</w:t>
            </w:r>
          </w:p>
        </w:tc>
        <w:tc>
          <w:tcPr>
            <w:tcW w:w="0" w:type="auto"/>
          </w:tcPr>
          <w:p w:rsidR="00DA6F80" w:rsidRDefault="00DA6F80" w:rsidP="00981ACA">
            <w:pPr>
              <w:jc w:val="center"/>
            </w:pPr>
            <w:r>
              <w:t>49</w:t>
            </w:r>
            <w:r w:rsidRPr="00DA6F80">
              <w:rPr>
                <w:vertAlign w:val="superscript"/>
              </w:rPr>
              <w:t>th</w:t>
            </w:r>
            <w:r>
              <w:t xml:space="preserve"> percentile</w:t>
            </w:r>
          </w:p>
        </w:tc>
        <w:tc>
          <w:tcPr>
            <w:tcW w:w="0" w:type="auto"/>
          </w:tcPr>
          <w:p w:rsidR="00DA6F80" w:rsidRDefault="00981ACA" w:rsidP="00981ACA">
            <w:pPr>
              <w:jc w:val="center"/>
            </w:pPr>
            <w:r>
              <w:t>61.7</w:t>
            </w:r>
          </w:p>
        </w:tc>
        <w:tc>
          <w:tcPr>
            <w:tcW w:w="0" w:type="auto"/>
          </w:tcPr>
          <w:p w:rsidR="00DA6F80" w:rsidRDefault="00981ACA" w:rsidP="00981ACA">
            <w:pPr>
              <w:jc w:val="center"/>
            </w:pPr>
            <w:r>
              <w:t>60.5</w:t>
            </w:r>
          </w:p>
        </w:tc>
        <w:tc>
          <w:tcPr>
            <w:tcW w:w="0" w:type="auto"/>
          </w:tcPr>
          <w:p w:rsidR="00DA6F80" w:rsidRDefault="00981ACA" w:rsidP="00981ACA">
            <w:pPr>
              <w:jc w:val="center"/>
            </w:pPr>
            <w:r>
              <w:t>3.7</w:t>
            </w:r>
          </w:p>
        </w:tc>
      </w:tr>
      <w:tr w:rsidR="00981ACA" w:rsidTr="00981ACA">
        <w:trPr>
          <w:jc w:val="center"/>
        </w:trPr>
        <w:tc>
          <w:tcPr>
            <w:tcW w:w="0" w:type="auto"/>
          </w:tcPr>
          <w:p w:rsidR="00DA6F80" w:rsidRDefault="00DA6F80" w:rsidP="00981ACA">
            <w:pPr>
              <w:jc w:val="center"/>
            </w:pPr>
            <w:r>
              <w:t>UNA 2006</w:t>
            </w:r>
          </w:p>
        </w:tc>
        <w:tc>
          <w:tcPr>
            <w:tcW w:w="0" w:type="auto"/>
          </w:tcPr>
          <w:p w:rsidR="00DA6F80" w:rsidRDefault="00DA6F80" w:rsidP="00981ACA">
            <w:pPr>
              <w:jc w:val="center"/>
            </w:pPr>
            <w:r>
              <w:t>394</w:t>
            </w:r>
          </w:p>
        </w:tc>
        <w:tc>
          <w:tcPr>
            <w:tcW w:w="0" w:type="auto"/>
          </w:tcPr>
          <w:p w:rsidR="00DA6F80" w:rsidRDefault="00DA6F80" w:rsidP="00981ACA">
            <w:pPr>
              <w:jc w:val="center"/>
            </w:pPr>
            <w:r>
              <w:t>49</w:t>
            </w:r>
            <w:r w:rsidRPr="00DA6F80">
              <w:rPr>
                <w:vertAlign w:val="superscript"/>
              </w:rPr>
              <w:t>th</w:t>
            </w:r>
            <w:r>
              <w:t xml:space="preserve"> percentile</w:t>
            </w:r>
          </w:p>
        </w:tc>
        <w:tc>
          <w:tcPr>
            <w:tcW w:w="0" w:type="auto"/>
          </w:tcPr>
          <w:p w:rsidR="00DA6F80" w:rsidRDefault="00DA6F80" w:rsidP="00981ACA">
            <w:pPr>
              <w:jc w:val="center"/>
            </w:pPr>
            <w:r>
              <w:t>61.2</w:t>
            </w:r>
          </w:p>
        </w:tc>
        <w:tc>
          <w:tcPr>
            <w:tcW w:w="0" w:type="auto"/>
          </w:tcPr>
          <w:p w:rsidR="00DA6F80" w:rsidRDefault="00DA6F80" w:rsidP="00981ACA">
            <w:pPr>
              <w:jc w:val="center"/>
            </w:pPr>
            <w:r>
              <w:t>60.8</w:t>
            </w:r>
          </w:p>
        </w:tc>
        <w:tc>
          <w:tcPr>
            <w:tcW w:w="0" w:type="auto"/>
          </w:tcPr>
          <w:p w:rsidR="00DA6F80" w:rsidRDefault="00DA6F80" w:rsidP="00981ACA">
            <w:pPr>
              <w:jc w:val="center"/>
            </w:pPr>
            <w:r>
              <w:t>3.8</w:t>
            </w:r>
          </w:p>
        </w:tc>
      </w:tr>
      <w:tr w:rsidR="00981ACA" w:rsidTr="00981ACA">
        <w:trPr>
          <w:jc w:val="center"/>
        </w:trPr>
        <w:tc>
          <w:tcPr>
            <w:tcW w:w="0" w:type="auto"/>
          </w:tcPr>
          <w:p w:rsidR="00DA6F80" w:rsidRDefault="00DA6F80" w:rsidP="00981ACA">
            <w:pPr>
              <w:jc w:val="center"/>
            </w:pPr>
            <w:r>
              <w:t>UNA 2003</w:t>
            </w:r>
          </w:p>
        </w:tc>
        <w:tc>
          <w:tcPr>
            <w:tcW w:w="0" w:type="auto"/>
          </w:tcPr>
          <w:p w:rsidR="00DA6F80" w:rsidRDefault="00DA6F80" w:rsidP="00981ACA">
            <w:pPr>
              <w:jc w:val="center"/>
            </w:pPr>
            <w:r>
              <w:t>429</w:t>
            </w:r>
          </w:p>
        </w:tc>
        <w:tc>
          <w:tcPr>
            <w:tcW w:w="0" w:type="auto"/>
          </w:tcPr>
          <w:p w:rsidR="00DA6F80" w:rsidRDefault="00DA6F80" w:rsidP="00981ACA">
            <w:pPr>
              <w:jc w:val="center"/>
            </w:pPr>
            <w:r>
              <w:t>49</w:t>
            </w:r>
            <w:r w:rsidRPr="00DA6F80">
              <w:rPr>
                <w:vertAlign w:val="superscript"/>
              </w:rPr>
              <w:t>th</w:t>
            </w:r>
            <w:r>
              <w:t xml:space="preserve"> percentile</w:t>
            </w:r>
          </w:p>
        </w:tc>
        <w:tc>
          <w:tcPr>
            <w:tcW w:w="0" w:type="auto"/>
          </w:tcPr>
          <w:p w:rsidR="00DA6F80" w:rsidRDefault="00DA6F80" w:rsidP="00981ACA">
            <w:pPr>
              <w:jc w:val="center"/>
            </w:pPr>
            <w:r>
              <w:t>61.1</w:t>
            </w:r>
          </w:p>
        </w:tc>
        <w:tc>
          <w:tcPr>
            <w:tcW w:w="0" w:type="auto"/>
          </w:tcPr>
          <w:p w:rsidR="00DA6F80" w:rsidRDefault="00981ACA" w:rsidP="00981ACA">
            <w:pPr>
              <w:jc w:val="center"/>
            </w:pPr>
            <w:r>
              <w:t>60.5</w:t>
            </w:r>
          </w:p>
        </w:tc>
        <w:tc>
          <w:tcPr>
            <w:tcW w:w="0" w:type="auto"/>
          </w:tcPr>
          <w:p w:rsidR="00DA6F80" w:rsidRDefault="00981ACA" w:rsidP="00981ACA">
            <w:pPr>
              <w:jc w:val="center"/>
            </w:pPr>
            <w:r>
              <w:t>3.7</w:t>
            </w:r>
          </w:p>
        </w:tc>
      </w:tr>
      <w:tr w:rsidR="00981ACA" w:rsidTr="00981ACA">
        <w:trPr>
          <w:jc w:val="center"/>
        </w:trPr>
        <w:tc>
          <w:tcPr>
            <w:tcW w:w="0" w:type="auto"/>
          </w:tcPr>
          <w:p w:rsidR="00DA6F80" w:rsidRDefault="00DA6F80" w:rsidP="00981ACA">
            <w:pPr>
              <w:jc w:val="center"/>
            </w:pPr>
            <w:r>
              <w:t>UNA 2002</w:t>
            </w:r>
          </w:p>
        </w:tc>
        <w:tc>
          <w:tcPr>
            <w:tcW w:w="0" w:type="auto"/>
          </w:tcPr>
          <w:p w:rsidR="00DA6F80" w:rsidRDefault="00DA6F80" w:rsidP="00981ACA">
            <w:pPr>
              <w:jc w:val="center"/>
            </w:pPr>
            <w:r>
              <w:t>575</w:t>
            </w:r>
          </w:p>
        </w:tc>
        <w:tc>
          <w:tcPr>
            <w:tcW w:w="0" w:type="auto"/>
          </w:tcPr>
          <w:p w:rsidR="00DA6F80" w:rsidRDefault="00DA6F80" w:rsidP="00981ACA">
            <w:pPr>
              <w:jc w:val="center"/>
            </w:pPr>
            <w:r>
              <w:t>53</w:t>
            </w:r>
            <w:r w:rsidRPr="00DA6F80">
              <w:rPr>
                <w:vertAlign w:val="superscript"/>
              </w:rPr>
              <w:t>rd</w:t>
            </w:r>
            <w:r>
              <w:t xml:space="preserve"> percentile</w:t>
            </w:r>
          </w:p>
        </w:tc>
        <w:tc>
          <w:tcPr>
            <w:tcW w:w="0" w:type="auto"/>
          </w:tcPr>
          <w:p w:rsidR="00DA6F80" w:rsidRDefault="00DA6F80" w:rsidP="00981ACA">
            <w:pPr>
              <w:jc w:val="center"/>
            </w:pPr>
            <w:r>
              <w:t>61.1</w:t>
            </w:r>
          </w:p>
        </w:tc>
        <w:tc>
          <w:tcPr>
            <w:tcW w:w="0" w:type="auto"/>
          </w:tcPr>
          <w:p w:rsidR="00DA6F80" w:rsidRDefault="00981ACA" w:rsidP="00981ACA">
            <w:pPr>
              <w:jc w:val="center"/>
            </w:pPr>
            <w:r>
              <w:t>61.0</w:t>
            </w:r>
          </w:p>
        </w:tc>
        <w:tc>
          <w:tcPr>
            <w:tcW w:w="0" w:type="auto"/>
          </w:tcPr>
          <w:p w:rsidR="00DA6F80" w:rsidRDefault="00981ACA" w:rsidP="00981ACA">
            <w:pPr>
              <w:jc w:val="center"/>
            </w:pPr>
            <w:r>
              <w:t>3.7</w:t>
            </w:r>
          </w:p>
        </w:tc>
      </w:tr>
    </w:tbl>
    <w:p w:rsidR="00603021" w:rsidRDefault="00603021"/>
    <w:tbl>
      <w:tblPr>
        <w:tblStyle w:val="MediumShading2-Accent4"/>
        <w:tblpPr w:leftFromText="180" w:rightFromText="180" w:vertAnchor="text" w:horzAnchor="page" w:tblpX="6390" w:tblpY="60"/>
        <w:tblW w:w="5190" w:type="dxa"/>
        <w:tblLook w:val="04A0"/>
      </w:tblPr>
      <w:tblGrid>
        <w:gridCol w:w="1728"/>
        <w:gridCol w:w="2070"/>
        <w:gridCol w:w="1392"/>
      </w:tblGrid>
      <w:tr w:rsidR="00B251C8" w:rsidTr="00E24C0A">
        <w:trPr>
          <w:cnfStyle w:val="100000000000"/>
          <w:trHeight w:val="692"/>
        </w:trPr>
        <w:tc>
          <w:tcPr>
            <w:cnfStyle w:val="001000000100"/>
            <w:tcW w:w="1728" w:type="dxa"/>
            <w:shd w:val="clear" w:color="auto" w:fill="A6A6A6" w:themeFill="background1" w:themeFillShade="A6"/>
            <w:vAlign w:val="center"/>
          </w:tcPr>
          <w:p w:rsidR="005C3F70" w:rsidRPr="00E24C0A" w:rsidRDefault="00B251C8" w:rsidP="00B251C8">
            <w:pPr>
              <w:jc w:val="center"/>
              <w:rPr>
                <w:color w:val="auto"/>
              </w:rPr>
            </w:pPr>
            <w:r w:rsidRPr="00E24C0A">
              <w:rPr>
                <w:color w:val="auto"/>
              </w:rPr>
              <w:t>Student Classification</w:t>
            </w:r>
          </w:p>
        </w:tc>
        <w:tc>
          <w:tcPr>
            <w:tcW w:w="2070" w:type="dxa"/>
            <w:shd w:val="clear" w:color="auto" w:fill="A6A6A6" w:themeFill="background1" w:themeFillShade="A6"/>
            <w:vAlign w:val="center"/>
          </w:tcPr>
          <w:p w:rsidR="005C3F70" w:rsidRPr="00E24C0A" w:rsidRDefault="00B251C8" w:rsidP="00B251C8">
            <w:pPr>
              <w:jc w:val="center"/>
              <w:cnfStyle w:val="100000000000"/>
              <w:rPr>
                <w:color w:val="auto"/>
              </w:rPr>
            </w:pPr>
            <w:r w:rsidRPr="00E24C0A">
              <w:rPr>
                <w:color w:val="auto"/>
              </w:rPr>
              <w:t>Number of Students</w:t>
            </w:r>
          </w:p>
        </w:tc>
        <w:tc>
          <w:tcPr>
            <w:tcW w:w="1392" w:type="dxa"/>
            <w:shd w:val="clear" w:color="auto" w:fill="A6A6A6" w:themeFill="background1" w:themeFillShade="A6"/>
            <w:vAlign w:val="center"/>
          </w:tcPr>
          <w:p w:rsidR="005C3F70" w:rsidRPr="00E24C0A" w:rsidRDefault="00B251C8" w:rsidP="00B251C8">
            <w:pPr>
              <w:jc w:val="center"/>
              <w:cnfStyle w:val="100000000000"/>
              <w:rPr>
                <w:color w:val="auto"/>
              </w:rPr>
            </w:pPr>
            <w:r w:rsidRPr="00E24C0A">
              <w:rPr>
                <w:color w:val="auto"/>
              </w:rPr>
              <w:t>Mean Score</w:t>
            </w:r>
          </w:p>
        </w:tc>
      </w:tr>
      <w:tr w:rsidR="00B251C8" w:rsidTr="00E24C0A">
        <w:trPr>
          <w:cnfStyle w:val="000000100000"/>
          <w:trHeight w:val="572"/>
        </w:trPr>
        <w:tc>
          <w:tcPr>
            <w:cnfStyle w:val="001000000000"/>
            <w:tcW w:w="1728" w:type="dxa"/>
            <w:tcBorders>
              <w:top w:val="single" w:sz="18" w:space="0" w:color="auto"/>
            </w:tcBorders>
            <w:vAlign w:val="center"/>
          </w:tcPr>
          <w:p w:rsidR="005C3F70" w:rsidRDefault="00B251C8" w:rsidP="00B251C8">
            <w:pPr>
              <w:jc w:val="center"/>
            </w:pPr>
            <w:r>
              <w:t>Freshman</w:t>
            </w:r>
          </w:p>
        </w:tc>
        <w:tc>
          <w:tcPr>
            <w:tcW w:w="2070" w:type="dxa"/>
            <w:vAlign w:val="center"/>
          </w:tcPr>
          <w:p w:rsidR="00E24C0A" w:rsidRDefault="00E24C0A" w:rsidP="00E24C0A">
            <w:pPr>
              <w:jc w:val="center"/>
              <w:cnfStyle w:val="000000100000"/>
            </w:pPr>
            <w:r>
              <w:t>3</w:t>
            </w:r>
          </w:p>
        </w:tc>
        <w:tc>
          <w:tcPr>
            <w:tcW w:w="1392" w:type="dxa"/>
            <w:vAlign w:val="center"/>
          </w:tcPr>
          <w:p w:rsidR="005C3F70" w:rsidRDefault="00E24C0A" w:rsidP="00B251C8">
            <w:pPr>
              <w:jc w:val="center"/>
              <w:cnfStyle w:val="000000100000"/>
            </w:pPr>
            <w:r>
              <w:rPr>
                <w:rFonts w:cs="Times New Roman"/>
              </w:rPr>
              <w:t>−</w:t>
            </w:r>
          </w:p>
        </w:tc>
      </w:tr>
      <w:tr w:rsidR="00B251C8" w:rsidTr="00E24C0A">
        <w:trPr>
          <w:trHeight w:val="599"/>
        </w:trPr>
        <w:tc>
          <w:tcPr>
            <w:cnfStyle w:val="001000000000"/>
            <w:tcW w:w="1728" w:type="dxa"/>
            <w:tcBorders>
              <w:top w:val="nil"/>
            </w:tcBorders>
            <w:vAlign w:val="center"/>
          </w:tcPr>
          <w:p w:rsidR="005C3F70" w:rsidRDefault="00B251C8" w:rsidP="00B251C8">
            <w:pPr>
              <w:jc w:val="center"/>
            </w:pPr>
            <w:r>
              <w:t>Sophomore</w:t>
            </w:r>
          </w:p>
        </w:tc>
        <w:tc>
          <w:tcPr>
            <w:tcW w:w="2070" w:type="dxa"/>
            <w:vAlign w:val="center"/>
          </w:tcPr>
          <w:p w:rsidR="005C3F70" w:rsidRDefault="00E24C0A" w:rsidP="00B251C8">
            <w:pPr>
              <w:jc w:val="center"/>
              <w:cnfStyle w:val="000000000000"/>
            </w:pPr>
            <w:r>
              <w:t>44</w:t>
            </w:r>
          </w:p>
        </w:tc>
        <w:tc>
          <w:tcPr>
            <w:tcW w:w="1392" w:type="dxa"/>
            <w:vAlign w:val="center"/>
          </w:tcPr>
          <w:p w:rsidR="005C3F70" w:rsidRDefault="00E24C0A" w:rsidP="00B251C8">
            <w:pPr>
              <w:jc w:val="center"/>
              <w:cnfStyle w:val="000000000000"/>
            </w:pPr>
            <w:r>
              <w:t>61</w:t>
            </w:r>
          </w:p>
        </w:tc>
      </w:tr>
      <w:tr w:rsidR="00B251C8" w:rsidTr="00E24C0A">
        <w:trPr>
          <w:cnfStyle w:val="000000100000"/>
          <w:trHeight w:val="626"/>
        </w:trPr>
        <w:tc>
          <w:tcPr>
            <w:cnfStyle w:val="001000000000"/>
            <w:tcW w:w="1728" w:type="dxa"/>
            <w:tcBorders>
              <w:top w:val="nil"/>
            </w:tcBorders>
            <w:vAlign w:val="center"/>
          </w:tcPr>
          <w:p w:rsidR="005C3F70" w:rsidRDefault="00B251C8" w:rsidP="00B251C8">
            <w:pPr>
              <w:jc w:val="center"/>
            </w:pPr>
            <w:r>
              <w:t>Junior</w:t>
            </w:r>
          </w:p>
        </w:tc>
        <w:tc>
          <w:tcPr>
            <w:tcW w:w="2070" w:type="dxa"/>
            <w:vAlign w:val="center"/>
          </w:tcPr>
          <w:p w:rsidR="005C3F70" w:rsidRDefault="00E24C0A" w:rsidP="00B251C8">
            <w:pPr>
              <w:jc w:val="center"/>
              <w:cnfStyle w:val="000000100000"/>
            </w:pPr>
            <w:r>
              <w:t>135</w:t>
            </w:r>
          </w:p>
        </w:tc>
        <w:tc>
          <w:tcPr>
            <w:tcW w:w="1392" w:type="dxa"/>
            <w:vAlign w:val="center"/>
          </w:tcPr>
          <w:p w:rsidR="005C3F70" w:rsidRDefault="00E24C0A" w:rsidP="00B251C8">
            <w:pPr>
              <w:jc w:val="center"/>
              <w:cnfStyle w:val="000000100000"/>
            </w:pPr>
            <w:r>
              <w:t>61</w:t>
            </w:r>
          </w:p>
        </w:tc>
      </w:tr>
      <w:tr w:rsidR="00B251C8" w:rsidTr="00E24C0A">
        <w:trPr>
          <w:trHeight w:val="572"/>
        </w:trPr>
        <w:tc>
          <w:tcPr>
            <w:cnfStyle w:val="001000000000"/>
            <w:tcW w:w="1728" w:type="dxa"/>
            <w:tcBorders>
              <w:top w:val="nil"/>
            </w:tcBorders>
            <w:vAlign w:val="center"/>
          </w:tcPr>
          <w:p w:rsidR="005C3F70" w:rsidRDefault="00B251C8" w:rsidP="00B251C8">
            <w:pPr>
              <w:jc w:val="center"/>
            </w:pPr>
            <w:r>
              <w:t>Senior</w:t>
            </w:r>
          </w:p>
        </w:tc>
        <w:tc>
          <w:tcPr>
            <w:tcW w:w="2070" w:type="dxa"/>
            <w:vAlign w:val="center"/>
          </w:tcPr>
          <w:p w:rsidR="005C3F70" w:rsidRDefault="00E24C0A" w:rsidP="00B251C8">
            <w:pPr>
              <w:jc w:val="center"/>
              <w:cnfStyle w:val="000000000000"/>
            </w:pPr>
            <w:r>
              <w:t>152</w:t>
            </w:r>
          </w:p>
        </w:tc>
        <w:tc>
          <w:tcPr>
            <w:tcW w:w="1392" w:type="dxa"/>
            <w:vAlign w:val="center"/>
          </w:tcPr>
          <w:p w:rsidR="005C3F70" w:rsidRDefault="00E24C0A" w:rsidP="00B251C8">
            <w:pPr>
              <w:jc w:val="center"/>
              <w:cnfStyle w:val="000000000000"/>
            </w:pPr>
            <w:r>
              <w:t>60</w:t>
            </w:r>
          </w:p>
        </w:tc>
      </w:tr>
      <w:tr w:rsidR="00B251C8" w:rsidTr="00E24C0A">
        <w:trPr>
          <w:cnfStyle w:val="000000100000"/>
          <w:trHeight w:val="626"/>
        </w:trPr>
        <w:tc>
          <w:tcPr>
            <w:cnfStyle w:val="001000000000"/>
            <w:tcW w:w="1728" w:type="dxa"/>
            <w:tcBorders>
              <w:top w:val="nil"/>
            </w:tcBorders>
            <w:vAlign w:val="center"/>
          </w:tcPr>
          <w:p w:rsidR="005C3F70" w:rsidRDefault="00B251C8" w:rsidP="00B251C8">
            <w:pPr>
              <w:jc w:val="center"/>
            </w:pPr>
            <w:r>
              <w:t>Transfers</w:t>
            </w:r>
          </w:p>
        </w:tc>
        <w:tc>
          <w:tcPr>
            <w:tcW w:w="2070" w:type="dxa"/>
            <w:vAlign w:val="center"/>
          </w:tcPr>
          <w:p w:rsidR="005C3F70" w:rsidRDefault="00E24C0A" w:rsidP="00B251C8">
            <w:pPr>
              <w:jc w:val="center"/>
              <w:cnfStyle w:val="000000100000"/>
            </w:pPr>
            <w:r>
              <w:t>128</w:t>
            </w:r>
          </w:p>
        </w:tc>
        <w:tc>
          <w:tcPr>
            <w:tcW w:w="1392" w:type="dxa"/>
            <w:vAlign w:val="center"/>
          </w:tcPr>
          <w:p w:rsidR="005C3F70" w:rsidRDefault="00E24C0A" w:rsidP="00B251C8">
            <w:pPr>
              <w:jc w:val="center"/>
              <w:cnfStyle w:val="000000100000"/>
            </w:pPr>
            <w:r>
              <w:t>60</w:t>
            </w:r>
          </w:p>
        </w:tc>
      </w:tr>
      <w:tr w:rsidR="00B251C8" w:rsidTr="00E24C0A">
        <w:trPr>
          <w:trHeight w:val="473"/>
        </w:trPr>
        <w:tc>
          <w:tcPr>
            <w:cnfStyle w:val="001000000000"/>
            <w:tcW w:w="1728" w:type="dxa"/>
            <w:tcBorders>
              <w:top w:val="nil"/>
            </w:tcBorders>
            <w:vAlign w:val="center"/>
          </w:tcPr>
          <w:p w:rsidR="00B251C8" w:rsidRDefault="00B251C8" w:rsidP="00B251C8">
            <w:pPr>
              <w:jc w:val="center"/>
            </w:pPr>
            <w:r>
              <w:t>Non-Transfers</w:t>
            </w:r>
          </w:p>
        </w:tc>
        <w:tc>
          <w:tcPr>
            <w:tcW w:w="2070" w:type="dxa"/>
            <w:vAlign w:val="center"/>
          </w:tcPr>
          <w:p w:rsidR="00B251C8" w:rsidRDefault="00E24C0A" w:rsidP="00B251C8">
            <w:pPr>
              <w:jc w:val="center"/>
              <w:cnfStyle w:val="000000000000"/>
            </w:pPr>
            <w:r>
              <w:t>208</w:t>
            </w:r>
          </w:p>
        </w:tc>
        <w:tc>
          <w:tcPr>
            <w:tcW w:w="1392" w:type="dxa"/>
            <w:vAlign w:val="center"/>
          </w:tcPr>
          <w:p w:rsidR="00B251C8" w:rsidRDefault="00E24C0A" w:rsidP="00B251C8">
            <w:pPr>
              <w:jc w:val="center"/>
              <w:cnfStyle w:val="000000000000"/>
            </w:pPr>
            <w:r>
              <w:t>60</w:t>
            </w:r>
          </w:p>
        </w:tc>
      </w:tr>
    </w:tbl>
    <w:p w:rsidR="005C3F70" w:rsidRDefault="00740EA7">
      <w:r w:rsidRPr="005C3F70">
        <w:rPr>
          <w:noProof/>
          <w:bdr w:val="single" w:sz="18" w:space="0" w:color="000000" w:themeColor="text1"/>
        </w:rPr>
        <w:drawing>
          <wp:inline distT="0" distB="0" distL="0" distR="0">
            <wp:extent cx="3306725" cy="270067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sidR="005C3F70">
        <w:t xml:space="preserve"> </w:t>
      </w:r>
    </w:p>
    <w:tbl>
      <w:tblPr>
        <w:tblStyle w:val="MediumShading2-Accent4"/>
        <w:tblpPr w:leftFromText="180" w:rightFromText="180" w:vertAnchor="text" w:horzAnchor="margin" w:tblpX="108" w:tblpY="292"/>
        <w:tblW w:w="5238" w:type="dxa"/>
        <w:tblLook w:val="04A0"/>
      </w:tblPr>
      <w:tblGrid>
        <w:gridCol w:w="2088"/>
        <w:gridCol w:w="1800"/>
        <w:gridCol w:w="1350"/>
      </w:tblGrid>
      <w:tr w:rsidR="00E24C0A" w:rsidRPr="00E24C0A" w:rsidTr="00E24C0A">
        <w:trPr>
          <w:cnfStyle w:val="100000000000"/>
          <w:trHeight w:val="692"/>
        </w:trPr>
        <w:tc>
          <w:tcPr>
            <w:cnfStyle w:val="001000000100"/>
            <w:tcW w:w="2088" w:type="dxa"/>
            <w:shd w:val="clear" w:color="auto" w:fill="A6A6A6" w:themeFill="background1" w:themeFillShade="A6"/>
            <w:vAlign w:val="center"/>
          </w:tcPr>
          <w:p w:rsidR="00E24C0A" w:rsidRPr="00E24C0A" w:rsidRDefault="00E24C0A" w:rsidP="00E24C0A">
            <w:pPr>
              <w:jc w:val="center"/>
              <w:rPr>
                <w:color w:val="auto"/>
              </w:rPr>
            </w:pPr>
            <w:r>
              <w:rPr>
                <w:color w:val="auto"/>
              </w:rPr>
              <w:t>Self-Reported Cumulative GPA</w:t>
            </w:r>
          </w:p>
        </w:tc>
        <w:tc>
          <w:tcPr>
            <w:tcW w:w="1800" w:type="dxa"/>
            <w:shd w:val="clear" w:color="auto" w:fill="A6A6A6" w:themeFill="background1" w:themeFillShade="A6"/>
            <w:vAlign w:val="center"/>
          </w:tcPr>
          <w:p w:rsidR="00E24C0A" w:rsidRPr="00E24C0A" w:rsidRDefault="00E24C0A" w:rsidP="00E24C0A">
            <w:pPr>
              <w:jc w:val="center"/>
              <w:cnfStyle w:val="100000000000"/>
              <w:rPr>
                <w:color w:val="auto"/>
              </w:rPr>
            </w:pPr>
            <w:r w:rsidRPr="00E24C0A">
              <w:rPr>
                <w:color w:val="auto"/>
              </w:rPr>
              <w:t>Number of Students</w:t>
            </w:r>
          </w:p>
        </w:tc>
        <w:tc>
          <w:tcPr>
            <w:tcW w:w="1350" w:type="dxa"/>
            <w:shd w:val="clear" w:color="auto" w:fill="A6A6A6" w:themeFill="background1" w:themeFillShade="A6"/>
            <w:vAlign w:val="center"/>
          </w:tcPr>
          <w:p w:rsidR="00E24C0A" w:rsidRPr="00E24C0A" w:rsidRDefault="00E24C0A" w:rsidP="00E24C0A">
            <w:pPr>
              <w:jc w:val="center"/>
              <w:cnfStyle w:val="100000000000"/>
              <w:rPr>
                <w:color w:val="auto"/>
              </w:rPr>
            </w:pPr>
            <w:r w:rsidRPr="00E24C0A">
              <w:rPr>
                <w:color w:val="auto"/>
              </w:rPr>
              <w:t>Mean Score</w:t>
            </w:r>
          </w:p>
        </w:tc>
      </w:tr>
      <w:tr w:rsidR="00E24C0A" w:rsidTr="00E24C0A">
        <w:trPr>
          <w:cnfStyle w:val="000000100000"/>
          <w:trHeight w:val="572"/>
        </w:trPr>
        <w:tc>
          <w:tcPr>
            <w:cnfStyle w:val="001000000000"/>
            <w:tcW w:w="2088" w:type="dxa"/>
            <w:tcBorders>
              <w:top w:val="single" w:sz="18" w:space="0" w:color="auto"/>
            </w:tcBorders>
            <w:vAlign w:val="center"/>
          </w:tcPr>
          <w:p w:rsidR="00E24C0A" w:rsidRDefault="00E24C0A" w:rsidP="00E24C0A">
            <w:pPr>
              <w:jc w:val="center"/>
            </w:pPr>
            <w:r>
              <w:t>Below 2.00</w:t>
            </w:r>
          </w:p>
        </w:tc>
        <w:tc>
          <w:tcPr>
            <w:tcW w:w="1800" w:type="dxa"/>
            <w:vAlign w:val="center"/>
          </w:tcPr>
          <w:p w:rsidR="00E24C0A" w:rsidRDefault="00E24C0A" w:rsidP="00E24C0A">
            <w:pPr>
              <w:jc w:val="center"/>
              <w:cnfStyle w:val="000000100000"/>
            </w:pPr>
            <w:r>
              <w:t>2</w:t>
            </w:r>
          </w:p>
        </w:tc>
        <w:tc>
          <w:tcPr>
            <w:tcW w:w="1350" w:type="dxa"/>
            <w:vAlign w:val="center"/>
          </w:tcPr>
          <w:p w:rsidR="00E24C0A" w:rsidRDefault="00E24C0A" w:rsidP="00E24C0A">
            <w:pPr>
              <w:jc w:val="center"/>
              <w:cnfStyle w:val="000000100000"/>
            </w:pPr>
            <w:r>
              <w:rPr>
                <w:rFonts w:cs="Times New Roman"/>
              </w:rPr>
              <w:t>−</w:t>
            </w:r>
          </w:p>
        </w:tc>
      </w:tr>
      <w:tr w:rsidR="00E24C0A" w:rsidTr="00E24C0A">
        <w:trPr>
          <w:trHeight w:val="599"/>
        </w:trPr>
        <w:tc>
          <w:tcPr>
            <w:cnfStyle w:val="001000000000"/>
            <w:tcW w:w="2088" w:type="dxa"/>
            <w:tcBorders>
              <w:top w:val="nil"/>
            </w:tcBorders>
            <w:vAlign w:val="center"/>
          </w:tcPr>
          <w:p w:rsidR="00E24C0A" w:rsidRDefault="00E24C0A" w:rsidP="00E24C0A">
            <w:pPr>
              <w:jc w:val="center"/>
            </w:pPr>
            <w:r>
              <w:t>2.01 to 2.50</w:t>
            </w:r>
          </w:p>
        </w:tc>
        <w:tc>
          <w:tcPr>
            <w:tcW w:w="1800" w:type="dxa"/>
            <w:vAlign w:val="center"/>
          </w:tcPr>
          <w:p w:rsidR="00E24C0A" w:rsidRDefault="00E24C0A" w:rsidP="00E24C0A">
            <w:pPr>
              <w:jc w:val="center"/>
              <w:cnfStyle w:val="000000000000"/>
            </w:pPr>
            <w:r>
              <w:t>61</w:t>
            </w:r>
          </w:p>
        </w:tc>
        <w:tc>
          <w:tcPr>
            <w:tcW w:w="1350" w:type="dxa"/>
            <w:vAlign w:val="center"/>
          </w:tcPr>
          <w:p w:rsidR="00E24C0A" w:rsidRDefault="00E24C0A" w:rsidP="00E24C0A">
            <w:pPr>
              <w:jc w:val="center"/>
              <w:cnfStyle w:val="000000000000"/>
            </w:pPr>
            <w:r>
              <w:t>59</w:t>
            </w:r>
          </w:p>
        </w:tc>
      </w:tr>
      <w:tr w:rsidR="00E24C0A" w:rsidTr="00E24C0A">
        <w:trPr>
          <w:cnfStyle w:val="000000100000"/>
          <w:trHeight w:val="626"/>
        </w:trPr>
        <w:tc>
          <w:tcPr>
            <w:cnfStyle w:val="001000000000"/>
            <w:tcW w:w="2088" w:type="dxa"/>
            <w:tcBorders>
              <w:top w:val="nil"/>
            </w:tcBorders>
            <w:vAlign w:val="center"/>
          </w:tcPr>
          <w:p w:rsidR="00E24C0A" w:rsidRDefault="00E24C0A" w:rsidP="00E24C0A">
            <w:pPr>
              <w:jc w:val="center"/>
            </w:pPr>
            <w:r>
              <w:t>2.51 to 3.00</w:t>
            </w:r>
          </w:p>
        </w:tc>
        <w:tc>
          <w:tcPr>
            <w:tcW w:w="1800" w:type="dxa"/>
            <w:vAlign w:val="center"/>
          </w:tcPr>
          <w:p w:rsidR="00E24C0A" w:rsidRDefault="00E24C0A" w:rsidP="00E24C0A">
            <w:pPr>
              <w:jc w:val="center"/>
              <w:cnfStyle w:val="000000100000"/>
            </w:pPr>
            <w:r>
              <w:t>108</w:t>
            </w:r>
          </w:p>
        </w:tc>
        <w:tc>
          <w:tcPr>
            <w:tcW w:w="1350" w:type="dxa"/>
            <w:vAlign w:val="center"/>
          </w:tcPr>
          <w:p w:rsidR="00E24C0A" w:rsidRDefault="00E24C0A" w:rsidP="00E24C0A">
            <w:pPr>
              <w:jc w:val="center"/>
              <w:cnfStyle w:val="000000100000"/>
            </w:pPr>
            <w:r>
              <w:t>60</w:t>
            </w:r>
          </w:p>
        </w:tc>
      </w:tr>
      <w:tr w:rsidR="00E24C0A" w:rsidTr="00E24C0A">
        <w:trPr>
          <w:trHeight w:val="572"/>
        </w:trPr>
        <w:tc>
          <w:tcPr>
            <w:cnfStyle w:val="001000000000"/>
            <w:tcW w:w="2088" w:type="dxa"/>
            <w:tcBorders>
              <w:top w:val="nil"/>
            </w:tcBorders>
            <w:vAlign w:val="center"/>
          </w:tcPr>
          <w:p w:rsidR="00E24C0A" w:rsidRDefault="00E24C0A" w:rsidP="00E24C0A">
            <w:pPr>
              <w:jc w:val="center"/>
            </w:pPr>
            <w:r>
              <w:t>3.01 to 3.50</w:t>
            </w:r>
          </w:p>
        </w:tc>
        <w:tc>
          <w:tcPr>
            <w:tcW w:w="1800" w:type="dxa"/>
            <w:vAlign w:val="center"/>
          </w:tcPr>
          <w:p w:rsidR="00E24C0A" w:rsidRDefault="00E24C0A" w:rsidP="00E24C0A">
            <w:pPr>
              <w:jc w:val="center"/>
              <w:cnfStyle w:val="000000000000"/>
            </w:pPr>
            <w:r>
              <w:t>95</w:t>
            </w:r>
          </w:p>
        </w:tc>
        <w:tc>
          <w:tcPr>
            <w:tcW w:w="1350" w:type="dxa"/>
            <w:vAlign w:val="center"/>
          </w:tcPr>
          <w:p w:rsidR="00E24C0A" w:rsidRDefault="00E24C0A" w:rsidP="00E24C0A">
            <w:pPr>
              <w:jc w:val="center"/>
              <w:cnfStyle w:val="000000000000"/>
            </w:pPr>
            <w:r>
              <w:t>61</w:t>
            </w:r>
          </w:p>
        </w:tc>
      </w:tr>
      <w:tr w:rsidR="00E24C0A" w:rsidTr="00EC520B">
        <w:trPr>
          <w:cnfStyle w:val="000000100000"/>
          <w:trHeight w:val="810"/>
        </w:trPr>
        <w:tc>
          <w:tcPr>
            <w:cnfStyle w:val="001000000000"/>
            <w:tcW w:w="2088" w:type="dxa"/>
            <w:tcBorders>
              <w:top w:val="nil"/>
            </w:tcBorders>
            <w:vAlign w:val="center"/>
          </w:tcPr>
          <w:p w:rsidR="00E24C0A" w:rsidRDefault="00E24C0A" w:rsidP="00E24C0A">
            <w:pPr>
              <w:jc w:val="center"/>
            </w:pPr>
            <w:r>
              <w:t>3.51 and Above</w:t>
            </w:r>
          </w:p>
        </w:tc>
        <w:tc>
          <w:tcPr>
            <w:tcW w:w="1800" w:type="dxa"/>
            <w:vAlign w:val="center"/>
          </w:tcPr>
          <w:p w:rsidR="00E24C0A" w:rsidRDefault="00E24C0A" w:rsidP="00E24C0A">
            <w:pPr>
              <w:jc w:val="center"/>
              <w:cnfStyle w:val="000000100000"/>
            </w:pPr>
            <w:r>
              <w:t>68</w:t>
            </w:r>
          </w:p>
        </w:tc>
        <w:tc>
          <w:tcPr>
            <w:tcW w:w="1350" w:type="dxa"/>
            <w:vAlign w:val="center"/>
          </w:tcPr>
          <w:p w:rsidR="00E24C0A" w:rsidRDefault="00E24C0A" w:rsidP="00E24C0A">
            <w:pPr>
              <w:jc w:val="center"/>
              <w:cnfStyle w:val="000000100000"/>
            </w:pPr>
            <w:r>
              <w:t>62</w:t>
            </w:r>
          </w:p>
        </w:tc>
      </w:tr>
    </w:tbl>
    <w:p w:rsidR="00740EA7" w:rsidRDefault="00740EA7"/>
    <w:p w:rsidR="00E24C0A" w:rsidRDefault="00B01727" w:rsidP="00EC520B">
      <w:pPr>
        <w:jc w:val="right"/>
      </w:pPr>
      <w:r w:rsidRPr="00EC520B">
        <w:rPr>
          <w:noProof/>
          <w:bdr w:val="single" w:sz="18" w:space="0" w:color="auto"/>
        </w:rPr>
        <w:drawing>
          <wp:inline distT="0" distB="0" distL="0" distR="0">
            <wp:extent cx="3274828" cy="2519916"/>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E24C0A" w:rsidSect="0006629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871274"/>
    <w:rsid w:val="00066291"/>
    <w:rsid w:val="00373F66"/>
    <w:rsid w:val="005C3F70"/>
    <w:rsid w:val="005F71D0"/>
    <w:rsid w:val="00603021"/>
    <w:rsid w:val="00740EA7"/>
    <w:rsid w:val="00871274"/>
    <w:rsid w:val="00981ACA"/>
    <w:rsid w:val="00B01727"/>
    <w:rsid w:val="00B251C8"/>
    <w:rsid w:val="00DA6F80"/>
    <w:rsid w:val="00E24C0A"/>
    <w:rsid w:val="00EC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2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0EA7"/>
    <w:rPr>
      <w:rFonts w:ascii="Tahoma" w:hAnsi="Tahoma" w:cs="Tahoma"/>
      <w:sz w:val="16"/>
      <w:szCs w:val="16"/>
    </w:rPr>
  </w:style>
  <w:style w:type="character" w:customStyle="1" w:styleId="BalloonTextChar">
    <w:name w:val="Balloon Text Char"/>
    <w:basedOn w:val="DefaultParagraphFont"/>
    <w:link w:val="BalloonText"/>
    <w:uiPriority w:val="99"/>
    <w:semiHidden/>
    <w:rsid w:val="00740EA7"/>
    <w:rPr>
      <w:rFonts w:ascii="Tahoma" w:hAnsi="Tahoma" w:cs="Tahoma"/>
      <w:sz w:val="16"/>
      <w:szCs w:val="16"/>
    </w:rPr>
  </w:style>
  <w:style w:type="table" w:styleId="MediumShading2-Accent4">
    <w:name w:val="Medium Shading 2 Accent 4"/>
    <w:basedOn w:val="TableNormal"/>
    <w:uiPriority w:val="64"/>
    <w:rsid w:val="00B251C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jmathis\Desktop\caap%20report%20F0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mjmathis\Desktop\caap%20report%20F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Number of Students by Class*</a:t>
            </a:r>
          </a:p>
        </c:rich>
      </c:tx>
    </c:title>
    <c:plotArea>
      <c:layout>
        <c:manualLayout>
          <c:layoutTarget val="inner"/>
          <c:xMode val="edge"/>
          <c:yMode val="edge"/>
          <c:x val="0.17891871867179776"/>
          <c:y val="0.25948412801267851"/>
          <c:w val="0.58825968291890018"/>
          <c:h val="0.72027052546220016"/>
        </c:manualLayout>
      </c:layout>
      <c:pieChart>
        <c:varyColors val="1"/>
        <c:ser>
          <c:idx val="0"/>
          <c:order val="0"/>
          <c:dPt>
            <c:idx val="0"/>
            <c:spPr>
              <a:solidFill>
                <a:schemeClr val="bg1">
                  <a:lumMod val="50000"/>
                </a:schemeClr>
              </a:solidFill>
            </c:spPr>
          </c:dPt>
          <c:dPt>
            <c:idx val="1"/>
            <c:spPr>
              <a:solidFill>
                <a:srgbClr val="FFC000"/>
              </a:solidFill>
            </c:spPr>
          </c:dPt>
          <c:dPt>
            <c:idx val="2"/>
            <c:spPr>
              <a:solidFill>
                <a:schemeClr val="accent4">
                  <a:lumMod val="40000"/>
                  <a:lumOff val="60000"/>
                </a:schemeClr>
              </a:solidFill>
            </c:spPr>
          </c:dPt>
          <c:dLbls>
            <c:dLbl>
              <c:idx val="1"/>
              <c:tx>
                <c:rich>
                  <a:bodyPr/>
                  <a:lstStyle/>
                  <a:p>
                    <a:r>
                      <a:rPr lang="en-US" sz="1100"/>
                      <a:t>Soph.
13.0%</a:t>
                    </a:r>
                  </a:p>
                </c:rich>
              </c:tx>
              <c:dLblPos val="bestFit"/>
              <c:showVal val="1"/>
              <c:showCatName val="1"/>
              <c:separator>
</c:separator>
            </c:dLbl>
            <c:dLbl>
              <c:idx val="3"/>
              <c:spPr/>
              <c:txPr>
                <a:bodyPr/>
                <a:lstStyle/>
                <a:p>
                  <a:pPr>
                    <a:defRPr sz="1100" b="1">
                      <a:solidFill>
                        <a:schemeClr val="bg1"/>
                      </a:solidFill>
                    </a:defRPr>
                  </a:pPr>
                  <a:endParaRPr lang="en-US"/>
                </a:p>
              </c:txPr>
            </c:dLbl>
            <c:txPr>
              <a:bodyPr/>
              <a:lstStyle/>
              <a:p>
                <a:pPr>
                  <a:defRPr sz="1100" b="1"/>
                </a:pPr>
                <a:endParaRPr lang="en-US"/>
              </a:p>
            </c:txPr>
            <c:dLblPos val="bestFit"/>
            <c:showVal val="1"/>
            <c:showCatName val="1"/>
            <c:separator>
</c:separator>
            <c:showLeaderLines val="1"/>
          </c:dLbls>
          <c:cat>
            <c:strRef>
              <c:f>Sheet1!$L$17:$L$20</c:f>
              <c:strCache>
                <c:ptCount val="4"/>
                <c:pt idx="0">
                  <c:v>Freshman</c:v>
                </c:pt>
                <c:pt idx="1">
                  <c:v>Sophomore</c:v>
                </c:pt>
                <c:pt idx="2">
                  <c:v>Junior</c:v>
                </c:pt>
                <c:pt idx="3">
                  <c:v>Senior</c:v>
                </c:pt>
              </c:strCache>
            </c:strRef>
          </c:cat>
          <c:val>
            <c:numRef>
              <c:f>Sheet1!$M$17:$M$20</c:f>
              <c:numCache>
                <c:formatCode>0.0%</c:formatCode>
                <c:ptCount val="4"/>
                <c:pt idx="0">
                  <c:v>8.0000000000000071E-3</c:v>
                </c:pt>
                <c:pt idx="1">
                  <c:v>0.13</c:v>
                </c:pt>
                <c:pt idx="2">
                  <c:v>0.40100000000000002</c:v>
                </c:pt>
                <c:pt idx="3">
                  <c:v>0.45200000000000001</c:v>
                </c:pt>
              </c:numCache>
            </c:numRef>
          </c:val>
        </c:ser>
        <c:firstSliceAng val="0"/>
      </c:pieChart>
    </c:plotArea>
    <c:plotVisOnly val="1"/>
  </c:chart>
  <c:spPr>
    <a:ln w="28575">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Self-Reported Performance Effort</a:t>
            </a:r>
          </a:p>
        </c:rich>
      </c:tx>
    </c:title>
    <c:plotArea>
      <c:layout>
        <c:manualLayout>
          <c:layoutTarget val="inner"/>
          <c:xMode val="edge"/>
          <c:yMode val="edge"/>
          <c:x val="0.28988675629754818"/>
          <c:y val="0.17443002789487355"/>
          <c:w val="0.57554760507049263"/>
          <c:h val="0.7924390600511898"/>
        </c:manualLayout>
      </c:layout>
      <c:pieChart>
        <c:varyColors val="1"/>
        <c:ser>
          <c:idx val="0"/>
          <c:order val="0"/>
          <c:dPt>
            <c:idx val="0"/>
            <c:spPr>
              <a:solidFill>
                <a:schemeClr val="accent4"/>
              </a:solidFill>
            </c:spPr>
          </c:dPt>
          <c:dPt>
            <c:idx val="1"/>
            <c:spPr>
              <a:solidFill>
                <a:srgbClr val="FFC000"/>
              </a:solidFill>
            </c:spPr>
          </c:dPt>
          <c:dPt>
            <c:idx val="2"/>
            <c:spPr>
              <a:solidFill>
                <a:schemeClr val="bg1">
                  <a:lumMod val="50000"/>
                </a:schemeClr>
              </a:solidFill>
            </c:spPr>
          </c:dPt>
          <c:dPt>
            <c:idx val="4"/>
            <c:spPr>
              <a:solidFill>
                <a:schemeClr val="accent4">
                  <a:lumMod val="40000"/>
                  <a:lumOff val="60000"/>
                </a:schemeClr>
              </a:solidFill>
            </c:spPr>
          </c:dPt>
          <c:dLbls>
            <c:dLbl>
              <c:idx val="0"/>
              <c:spPr/>
              <c:txPr>
                <a:bodyPr/>
                <a:lstStyle/>
                <a:p>
                  <a:pPr>
                    <a:defRPr sz="1000" b="1">
                      <a:solidFill>
                        <a:schemeClr val="bg1"/>
                      </a:solidFill>
                    </a:defRPr>
                  </a:pPr>
                  <a:endParaRPr lang="en-US"/>
                </a:p>
              </c:txPr>
            </c:dLbl>
            <c:txPr>
              <a:bodyPr/>
              <a:lstStyle/>
              <a:p>
                <a:pPr>
                  <a:defRPr sz="1000" b="1"/>
                </a:pPr>
                <a:endParaRPr lang="en-US"/>
              </a:p>
            </c:txPr>
            <c:dLblPos val="bestFit"/>
            <c:showVal val="1"/>
            <c:showCatName val="1"/>
            <c:separator>
</c:separator>
            <c:showLeaderLines val="1"/>
          </c:dLbls>
          <c:cat>
            <c:strRef>
              <c:f>Sheet1!$K$10:$K$14</c:f>
              <c:strCache>
                <c:ptCount val="5"/>
                <c:pt idx="0">
                  <c:v>Tried my Best</c:v>
                </c:pt>
                <c:pt idx="1">
                  <c:v>Gave Moderate Effort</c:v>
                </c:pt>
                <c:pt idx="2">
                  <c:v>Gave Little Effort</c:v>
                </c:pt>
                <c:pt idx="3">
                  <c:v>Gave No Effort</c:v>
                </c:pt>
                <c:pt idx="4">
                  <c:v>No Response</c:v>
                </c:pt>
              </c:strCache>
            </c:strRef>
          </c:cat>
          <c:val>
            <c:numRef>
              <c:f>Sheet1!$L$10:$L$14</c:f>
              <c:numCache>
                <c:formatCode>0.0%</c:formatCode>
                <c:ptCount val="5"/>
                <c:pt idx="0">
                  <c:v>0.44900000000000001</c:v>
                </c:pt>
                <c:pt idx="1">
                  <c:v>0.34800000000000014</c:v>
                </c:pt>
                <c:pt idx="2">
                  <c:v>4.7000000000000014E-2</c:v>
                </c:pt>
                <c:pt idx="3">
                  <c:v>2.0000000000000013E-3</c:v>
                </c:pt>
                <c:pt idx="4">
                  <c:v>0.15100000000000008</c:v>
                </c:pt>
              </c:numCache>
            </c:numRef>
          </c:val>
        </c:ser>
        <c:dLbls>
          <c:showVal val="1"/>
        </c:dLbls>
        <c:firstSliceAng val="0"/>
      </c:pieChart>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5</cp:revision>
  <dcterms:created xsi:type="dcterms:W3CDTF">2008-10-09T19:30:00Z</dcterms:created>
  <dcterms:modified xsi:type="dcterms:W3CDTF">2009-01-28T17:28:00Z</dcterms:modified>
</cp:coreProperties>
</file>